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53ECC81" w:rsidR="00093CA9" w:rsidRDefault="00816B23"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084B9D2" w:rsidR="00093CA9" w:rsidRPr="00960D32" w:rsidRDefault="00975CCA" w:rsidP="002C22F1">
            <w:pPr>
              <w:spacing w:before="0" w:after="0"/>
              <w:rPr>
                <w:rFonts w:cstheme="minorHAnsi"/>
                <w:color w:val="333333"/>
              </w:rPr>
            </w:pPr>
            <w:r w:rsidRPr="00975CCA">
              <w:rPr>
                <w:rFonts w:cstheme="minorHAnsi"/>
                <w:color w:val="333333"/>
              </w:rPr>
              <w:t>Resolution 146/2023 - National Plan for Climate Change Adaptation and Mitigation (Resolución 146/2023 - Plan Nacional de Adaptación y Mitigación al Cambio Climático)</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A710F1A" w:rsidR="00093CA9" w:rsidRDefault="00DE5F6C" w:rsidP="00093CA9">
            <w:hyperlink r:id="rId17" w:history="1">
              <w:r w:rsidRPr="00DE5F6C">
                <w:rPr>
                  <w:rStyle w:val="Hyperlink"/>
                </w:rPr>
                <w:t>Resolution 146/2023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5B8217C" w:rsidR="00093CA9" w:rsidRDefault="00975CCA"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6D24B83" w:rsidR="00093CA9" w:rsidRDefault="005258E3" w:rsidP="005258E3">
            <w:r>
              <w:t>The policy tool establishes a comprehensive national framework for climate change adaptation and mitigation in Argentina. It aims to regulate and promote climate action across all sectors, set standards and frameworks</w:t>
            </w:r>
            <w:r w:rsidR="007058CF">
              <w:t xml:space="preserve">. </w:t>
            </w:r>
            <w:r>
              <w:t>The policy enforces compliance to achieve both national and international climate goals.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2AD404D" w:rsidR="00093CA9" w:rsidRDefault="000D3E77"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9450628" w:rsidR="00093CA9" w:rsidRPr="00173D7C" w:rsidRDefault="000D3E77"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B39DF67" w:rsidR="00093CA9" w:rsidRPr="00173D7C" w:rsidRDefault="000D3E77"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7F63EDD" w:rsidR="00093CA9" w:rsidRDefault="000D3E77" w:rsidP="00093CA9">
            <w:r>
              <w:t xml:space="preserve">Ministry of Environment and Sustainable Development. </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9670C1" w:rsidR="00093CA9" w:rsidRPr="006B7B0D" w:rsidRDefault="00AE10C4" w:rsidP="00093CA9">
            <w:r w:rsidRPr="00AE10C4">
              <w:t>Secretariat of Climate Change, Sustainable Development and Innovation</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F50F579" w:rsidR="00093CA9" w:rsidRPr="006B7B0D" w:rsidRDefault="00AE10C4"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1AB5274"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5E5731F"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BA93EE1" w:rsidR="00093CA9" w:rsidRDefault="00620CDF"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FBFF3EF" w:rsidR="00093CA9" w:rsidRPr="008017F9" w:rsidRDefault="00620CDF" w:rsidP="00093CA9">
            <w:pPr>
              <w:keepNext/>
              <w:rPr>
                <w:color w:val="000000" w:themeColor="text1"/>
              </w:rPr>
            </w:pPr>
            <w:r w:rsidRPr="00620CDF">
              <w:rPr>
                <w:color w:val="000000" w:themeColor="text1"/>
              </w:rPr>
              <w:t>The policy includes periodic reporting requirements and the publication of annual reports, as well as open data and public dashboards for transparency.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16B2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16B2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16B2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624421C"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4887E20"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135B7A61"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EB48D3B"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1F9B03C0"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18EBA535"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12DDB727"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AF7F600"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0BB188E7"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64881C7"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5BDBD3C"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3FAE5F1"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3D72918B"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4902AE22"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6E60C66A"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6AF45659"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44B5EF39" w:rsidR="002F0752" w:rsidRPr="00CF2E7C" w:rsidRDefault="00C86867" w:rsidP="00CF2E7C">
            <w:pPr>
              <w:rPr>
                <w:rFonts w:ascii="Calibri" w:hAnsi="Calibri" w:cs="Calibri"/>
              </w:rPr>
            </w:pPr>
            <w:r>
              <w:rPr>
                <w:rFonts w:ascii="Calibri" w:hAnsi="Calibri" w:cs="Calibri"/>
              </w:rPr>
              <w:t>X</w:t>
            </w: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2CC9D172"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480F4F2F"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47B8F7EB"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51CAAFA"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D395B5D"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2723E6B5"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6A8B568"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32D24687"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1A432107"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23F42586" w:rsidR="002F0752" w:rsidRPr="00CF2E7C" w:rsidRDefault="003F24F6" w:rsidP="00CF2E7C">
            <w:pPr>
              <w:rPr>
                <w:rFonts w:ascii="Calibri" w:hAnsi="Calibri" w:cs="Calibri"/>
              </w:rPr>
            </w:pPr>
            <w:r>
              <w:rPr>
                <w:rFonts w:ascii="Calibri" w:hAnsi="Calibri" w:cs="Calibri"/>
              </w:rPr>
              <w:t>X</w:t>
            </w: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269F50DE"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173817A9"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6A3CBDD6"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5A1C3BEF"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3B5984FE"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085878B"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28892F70"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612767ED"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18936D67"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E99E807"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64A43541" w:rsidR="002F0752" w:rsidRPr="00CF2E7C" w:rsidRDefault="007A5B5B" w:rsidP="00CF2E7C">
            <w:pPr>
              <w:rPr>
                <w:rFonts w:ascii="Calibri" w:hAnsi="Calibri" w:cs="Calibri"/>
              </w:rPr>
            </w:pPr>
            <w:r>
              <w:rPr>
                <w:rFonts w:ascii="Calibri" w:hAnsi="Calibri" w:cs="Calibri"/>
              </w:rPr>
              <w:t>X</w:t>
            </w: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4785C929" w:rsidR="002F0752" w:rsidRPr="00CF2E7C" w:rsidRDefault="00D44B2A" w:rsidP="00CF2E7C">
            <w:pPr>
              <w:rPr>
                <w:rFonts w:ascii="Calibri" w:hAnsi="Calibri" w:cs="Calibri"/>
              </w:rPr>
            </w:pPr>
            <w:r w:rsidRPr="00D44B2A">
              <w:rPr>
                <w:rFonts w:ascii="Calibri" w:hAnsi="Calibri" w:cs="Calibri"/>
              </w:rPr>
              <w:t>The policy tool applies mandatory obligations to all the above-listed entities and sectors.</w:t>
            </w:r>
            <w:r w:rsidR="00975588">
              <w:t xml:space="preserve"> </w:t>
            </w:r>
            <w:r w:rsidR="00975588" w:rsidRPr="00975588">
              <w:rPr>
                <w:rFonts w:ascii="Calibri" w:hAnsi="Calibri" w:cs="Calibri"/>
              </w:rPr>
              <w:t>There is no indication in the policy tool that duties vary across the targeted entities; the obligations are broadly applicable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212E49E3" w:rsidR="002F0752" w:rsidRPr="00CF2E7C" w:rsidRDefault="00B10B59" w:rsidP="00CF2E7C">
            <w:pPr>
              <w:rPr>
                <w:rFonts w:ascii="Calibri" w:hAnsi="Calibri" w:cs="Calibri"/>
              </w:rPr>
            </w:pPr>
            <w:r w:rsidRPr="00B10B59">
              <w:rPr>
                <w:rFonts w:ascii="Calibri" w:hAnsi="Calibri" w:cs="Calibri"/>
              </w:rPr>
              <w:t xml:space="preserve">The policy tool does not specify particular threshold criteria (such as minimum number of employees, minimum revenue, </w:t>
            </w:r>
            <w:r w:rsidRPr="00B10B59">
              <w:rPr>
                <w:rFonts w:ascii="Calibri" w:hAnsi="Calibri" w:cs="Calibri"/>
              </w:rPr>
              <w:lastRenderedPageBreak/>
              <w:t>minimum assets, or minimum contract value) for compliance. The obligations are generally applicable to all entities within the targeted categories and sectors</w:t>
            </w:r>
            <w:r>
              <w:rPr>
                <w:rFonts w:ascii="Calibri" w:hAnsi="Calibri" w:cs="Calibri"/>
              </w:rPr>
              <w:t xml:space="preserve"> located in the Argentine jurisdiction. </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E4AEEA5" w:rsidR="002F0752" w:rsidRPr="00CF2E7C" w:rsidRDefault="00694991" w:rsidP="00CF2E7C">
            <w:pPr>
              <w:rPr>
                <w:rFonts w:ascii="Calibri" w:hAnsi="Calibri" w:cs="Calibri"/>
              </w:rPr>
            </w:pPr>
            <w:r>
              <w:rPr>
                <w:rFonts w:ascii="Calibri" w:hAnsi="Calibri" w:cs="Calibri"/>
              </w:rPr>
              <w:t xml:space="preserve">Entities with significant methane emissions. </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EA8A2A0" w:rsidR="002F0752" w:rsidRPr="00CF2E7C" w:rsidRDefault="00F830FD"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D58F953" w:rsidR="002F0752" w:rsidRPr="00CF2E7C" w:rsidRDefault="00F830FD"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88103C8" w:rsidR="002F0752" w:rsidRPr="00CF2E7C" w:rsidRDefault="00F830FD"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2972CCF0" w:rsidR="002F0752" w:rsidRPr="00CF2E7C" w:rsidRDefault="00F830FD" w:rsidP="00CF2E7C">
            <w:pPr>
              <w:rPr>
                <w:rFonts w:ascii="Calibri" w:hAnsi="Calibri" w:cs="Calibri"/>
              </w:rPr>
            </w:pPr>
            <w:r>
              <w:rPr>
                <w:rFonts w:ascii="Calibri" w:hAnsi="Calibri" w:cs="Calibri"/>
              </w:rPr>
              <w:t>X</w:t>
            </w: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3201F529" w:rsidR="002F0752" w:rsidRPr="00CF2E7C" w:rsidRDefault="00F830FD" w:rsidP="00CF2E7C">
            <w:pPr>
              <w:rPr>
                <w:rFonts w:ascii="Calibri" w:hAnsi="Calibri" w:cs="Calibri"/>
              </w:rPr>
            </w:pPr>
            <w:r>
              <w:rPr>
                <w:rFonts w:ascii="Calibri" w:hAnsi="Calibri" w:cs="Calibri"/>
              </w:rPr>
              <w:t>X</w:t>
            </w: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35E49827" w:rsidR="002F0752" w:rsidRPr="00CF2E7C" w:rsidRDefault="00F830FD" w:rsidP="00CF2E7C">
            <w:pPr>
              <w:rPr>
                <w:rFonts w:ascii="Calibri" w:hAnsi="Calibri" w:cs="Calibri"/>
              </w:rPr>
            </w:pPr>
            <w:r>
              <w:rPr>
                <w:rFonts w:ascii="Calibri" w:hAnsi="Calibri" w:cs="Calibri"/>
              </w:rPr>
              <w:t>X</w:t>
            </w: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5A21E0A4" w:rsidR="002F0752" w:rsidRPr="00CF2E7C" w:rsidRDefault="00F830FD" w:rsidP="00CF2E7C">
            <w:pPr>
              <w:rPr>
                <w:rFonts w:ascii="Calibri" w:hAnsi="Calibri" w:cs="Calibri"/>
              </w:rPr>
            </w:pPr>
            <w:r>
              <w:rPr>
                <w:rFonts w:ascii="Calibri" w:hAnsi="Calibri" w:cs="Calibri"/>
              </w:rPr>
              <w:t>X</w:t>
            </w: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575BBC29" w:rsidR="002F0752" w:rsidRPr="00CF2E7C" w:rsidRDefault="00F830FD"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2588A574" w:rsidR="002F0752" w:rsidRPr="00CF2E7C" w:rsidRDefault="007909FA" w:rsidP="00CF2E7C">
            <w:pPr>
              <w:rPr>
                <w:rFonts w:ascii="Calibri" w:hAnsi="Calibri" w:cs="Calibri"/>
              </w:rPr>
            </w:pPr>
            <w:r w:rsidRPr="007909FA">
              <w:rPr>
                <w:rFonts w:ascii="Calibri" w:hAnsi="Calibri" w:cs="Calibri"/>
              </w:rPr>
              <w:t>Sanctions are determined by the severity of non-compliance.</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5334104C"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5329E499"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142BFB7" w:rsidR="002F0752" w:rsidRPr="00CF2E7C" w:rsidRDefault="009F7525"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933A1A5" w:rsidR="002F0752" w:rsidRPr="00CF2E7C" w:rsidRDefault="009F7525"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0A25FFA" w:rsidR="002F0752" w:rsidRPr="00CF2E7C" w:rsidRDefault="00556B78"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C5D5201" w:rsidR="002F0752" w:rsidRPr="00CF2E7C" w:rsidRDefault="00284E53"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489AF957" w:rsidR="002F0752" w:rsidRPr="00CF2E7C" w:rsidRDefault="003544D2" w:rsidP="00CF2E7C">
            <w:pPr>
              <w:rPr>
                <w:rFonts w:ascii="Calibri" w:hAnsi="Calibri" w:cs="Calibri"/>
              </w:rPr>
            </w:pPr>
            <w:r w:rsidRPr="003544D2">
              <w:rPr>
                <w:rFonts w:ascii="Calibri" w:hAnsi="Calibri" w:cs="Calibri"/>
              </w:rPr>
              <w:t>Targets are aligned with international commitments.</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3B7FAF6" w:rsidR="002F0752" w:rsidRPr="00CF2E7C" w:rsidRDefault="00462720"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4B89B672" w:rsidR="002F0752" w:rsidRPr="00CF2E7C" w:rsidRDefault="00462720"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1446325" w:rsidR="002F0752" w:rsidRPr="00CF2E7C" w:rsidRDefault="0046272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1507B9F7" w:rsidR="002F0752" w:rsidRPr="00CF2E7C" w:rsidRDefault="00462720"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19B43FC" w:rsidR="002F0752" w:rsidRPr="00CF2E7C" w:rsidRDefault="00462720"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3B05094" w:rsidR="002F0752" w:rsidRPr="00CF2E7C" w:rsidRDefault="00C84CEA"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04DA33A4" w:rsidR="002F0752" w:rsidRPr="00CF2E7C" w:rsidRDefault="00C84CEA"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8AF6411" w:rsidR="002F0752" w:rsidRPr="33822AF7" w:rsidRDefault="00E5305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719E171" w:rsidR="002F0752" w:rsidRPr="33822AF7" w:rsidRDefault="00E5305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048B5D7" w:rsidR="002F0752" w:rsidRPr="33822AF7" w:rsidRDefault="00E5305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31E25D45" w:rsidR="002F0752" w:rsidRPr="00CF2E7C" w:rsidRDefault="00E5305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34388073" w:rsidR="002F0752" w:rsidRPr="00CF2E7C" w:rsidRDefault="00E5305B" w:rsidP="00CF2E7C">
            <w:pPr>
              <w:rPr>
                <w:rFonts w:ascii="Calibri" w:eastAsia="Calibri" w:hAnsi="Calibri" w:cs="Calibri"/>
                <w:color w:val="000000" w:themeColor="text1"/>
              </w:rPr>
            </w:pPr>
            <w:r w:rsidRPr="00E5305B">
              <w:rPr>
                <w:rFonts w:ascii="Calibri" w:eastAsia="Calibri" w:hAnsi="Calibri" w:cs="Calibri"/>
                <w:color w:val="000000" w:themeColor="text1"/>
              </w:rPr>
              <w:t>Entities must use recognized measurement standards.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4A456AF" w:rsidR="002F0752" w:rsidRPr="00CF2E7C" w:rsidRDefault="00CA4AA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901F961" w:rsidR="002F0752" w:rsidRPr="00CF2E7C" w:rsidRDefault="00CA4AA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FB8C838" w:rsidR="002F0752" w:rsidRPr="00CF2E7C" w:rsidRDefault="00CA4AA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3CF41D3" w:rsidR="002F0752" w:rsidRPr="00CF2E7C" w:rsidRDefault="00CA4AA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7B61ED9" w:rsidR="002F0752" w:rsidRPr="00CF2E7C" w:rsidRDefault="00CA4AA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41F2E2D6" w:rsidR="002F0752" w:rsidRPr="00CF2E7C" w:rsidRDefault="0082028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622B9A0C" w:rsidR="002F0752" w:rsidRPr="00CF2E7C" w:rsidRDefault="0082028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501850B1" w:rsidR="002F0752" w:rsidRPr="00CF2E7C" w:rsidRDefault="0082028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CA7481D" w:rsidR="002F0752" w:rsidRPr="00CF2E7C" w:rsidRDefault="0082028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10AAF60E" w:rsidR="002F0752" w:rsidRPr="00CF2E7C" w:rsidRDefault="0082028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87E52D0" w:rsidR="002F0752" w:rsidRPr="00CF2E7C" w:rsidRDefault="00105E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13184582" w:rsidR="002F0752" w:rsidRPr="00CF2E7C" w:rsidRDefault="00105E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6B102678" w:rsidR="002F0752" w:rsidRPr="00CF2E7C" w:rsidRDefault="004E3A9D" w:rsidP="00CF2E7C">
            <w:pPr>
              <w:rPr>
                <w:rFonts w:ascii="Calibri" w:eastAsia="Calibri" w:hAnsi="Calibri" w:cs="Calibri"/>
                <w:color w:val="000000" w:themeColor="text1"/>
              </w:rPr>
            </w:pPr>
            <w:r w:rsidRPr="004E3A9D">
              <w:rPr>
                <w:rFonts w:ascii="Calibri" w:eastAsia="Calibri" w:hAnsi="Calibri" w:cs="Calibri"/>
                <w:color w:val="000000" w:themeColor="text1"/>
              </w:rPr>
              <w:t>Entities must set and meet reduction targets.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4B931204" w:rsidR="002F0752" w:rsidRPr="00CF2E7C" w:rsidRDefault="004E3A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5AEA2CA5" w:rsidR="002F0752" w:rsidRPr="00CF2E7C" w:rsidRDefault="004E3A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48B1C657" w:rsidR="002F0752" w:rsidRPr="00CF2E7C" w:rsidRDefault="004E3A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0338EDD6" w:rsidR="002F0752" w:rsidRPr="00CF2E7C" w:rsidRDefault="004E3A9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5FB11EBD" w:rsidR="002F0752" w:rsidRPr="00CF2E7C" w:rsidRDefault="004E3A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6E7B668" w:rsidR="002F0752" w:rsidRPr="00CF2E7C" w:rsidRDefault="004E3A9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1B81BF72" w:rsidR="002F0752" w:rsidRPr="00CF2E7C" w:rsidRDefault="001018C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3FEA5312"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3DB41083"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296F28DA" w:rsidR="002F0752" w:rsidRPr="00CF2E7C" w:rsidRDefault="00330E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690E58EC" w:rsidR="002F0752" w:rsidRPr="00CF2E7C" w:rsidRDefault="00330E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137B4D36" w:rsidR="002F0752" w:rsidRPr="00CF2E7C" w:rsidRDefault="00330E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0A54B5E5" w:rsidR="002F0752" w:rsidRPr="00CF2E7C" w:rsidRDefault="00330E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69947C5A" w:rsidR="002F0752" w:rsidRPr="00CF2E7C" w:rsidRDefault="00330E7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35F463A9" w:rsidR="002F0752" w:rsidRPr="00CF2E7C" w:rsidRDefault="00330E7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213B971B" w:rsidR="002F0752" w:rsidRPr="00CF2E7C" w:rsidRDefault="00330E7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0DF521E9" w:rsidR="002F0752" w:rsidRPr="00CF2E7C" w:rsidRDefault="00330E7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6813943B" w:rsidR="002F0752" w:rsidRPr="00CF2E7C" w:rsidRDefault="00330E7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0F7A9312" w:rsidR="002F0752" w:rsidRPr="00CF2E7C" w:rsidRDefault="00330E7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497CBC25" w:rsidR="002F0752" w:rsidRPr="00CF2E7C" w:rsidRDefault="00AF4B6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64B96F72" w:rsidR="002F0752" w:rsidRPr="00CF2E7C" w:rsidRDefault="00AF4B6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EA8CEBE" w14:textId="242836B8"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The policy requires a suite of measures, including:</w:t>
            </w:r>
          </w:p>
          <w:p w14:paraId="7BA9C9BE" w14:textId="6F73FFAD"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Prohibition of Routine Venting: The plan mandates the prohibition of routine venting of associated gas, except in cases where it is technically unavoidable for safety or operational reasons. This is intended to ensure that venting is minimized and only occurs under exceptional circumstances.</w:t>
            </w:r>
          </w:p>
          <w:p w14:paraId="0BCD11DB" w14:textId="3C93F841"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Inclusion in Measurement and Reporting Frameworks: All venting and flaring activities must be systematically measured, reported, and included in national emissions inventories. This ensures transparency and accountability.</w:t>
            </w:r>
          </w:p>
          <w:p w14:paraId="14BF76A0" w14:textId="0D2FC2A3"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Site Inspections: Regular site inspections are required to monitor compliance with venting and flaring regulations. These inspections may be conducted by regulatory authorities or accredited third parties.</w:t>
            </w:r>
          </w:p>
          <w:p w14:paraId="19CCAB25" w14:textId="4F2CD97E"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Restrictions on Locations: The policy may restrict venting and flaring in proximity to populated areas or sensitive environments to minimize health and environmental impacts.</w:t>
            </w:r>
          </w:p>
          <w:p w14:paraId="15F5FD8E" w14:textId="5A6F3162"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Permitting System: Entities must obtain permits for any venting or flaring activities, with clear justifications and mitigation plans.</w:t>
            </w:r>
          </w:p>
          <w:p w14:paraId="21BDC725" w14:textId="03FEFFEC"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Royalties and Fees: The plan allows for the imposition of royalties or fees on vented or flared gas, creating a financial disincentive for these practices.</w:t>
            </w:r>
          </w:p>
          <w:p w14:paraId="3D8E38E4" w14:textId="21536096"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Equipment and Technology Standards: The use of specific equipment, such as vapor recovery units, high-efficiency flares, and low-bleed pneumatic devices, is required to minimize emissions. Operating procedures must also be optimized to reduce unnecessary venting and flaring.</w:t>
            </w:r>
          </w:p>
          <w:p w14:paraId="10E64888" w14:textId="1F342813" w:rsidR="00305E02" w:rsidRPr="00305E02"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 Performance Standards: Entities must comply with national performance standards for flaring efficiency and maximum allowable volumes of vented or flared gas.</w:t>
            </w:r>
          </w:p>
          <w:p w14:paraId="14A6A840" w14:textId="6D793935" w:rsidR="002F0752" w:rsidRPr="00987B4C" w:rsidRDefault="00305E02" w:rsidP="00305E02">
            <w:pPr>
              <w:rPr>
                <w:rFonts w:ascii="Calibri" w:eastAsia="Calibri" w:hAnsi="Calibri" w:cs="Calibri"/>
                <w:color w:val="000000" w:themeColor="text1"/>
              </w:rPr>
            </w:pPr>
            <w:r w:rsidRPr="00305E02">
              <w:rPr>
                <w:rFonts w:ascii="Calibri" w:eastAsia="Calibri" w:hAnsi="Calibri" w:cs="Calibri"/>
                <w:color w:val="000000" w:themeColor="text1"/>
              </w:rPr>
              <w:t>These measures are designed to ensure that venting and flaring are only used as a last resort and that all feasible steps are taken to capture, utilize, or otherwise mitigate associated gas emissions.</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690542CC" w:rsidR="002F0752" w:rsidRPr="00CF2E7C" w:rsidRDefault="00782F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37B80CE4" w:rsidR="002F0752" w:rsidRPr="00CF2E7C" w:rsidRDefault="00782F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051818BE" w:rsidR="002F0752" w:rsidRPr="00CF2E7C" w:rsidRDefault="00782F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3A725F0C" w:rsidR="002F0752" w:rsidRPr="00CF2E7C" w:rsidRDefault="00782F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6EB0F556" w:rsidR="002F0752" w:rsidRPr="00CF2E7C" w:rsidRDefault="00782F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60D9A52B" w:rsidR="002F0752" w:rsidRPr="00CF2E7C" w:rsidRDefault="00782F9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444991" w14:textId="53AAF6C5"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The policy tool requires a range of measures to maximize the utilization of associated gas and minimize methane emissions from oil and gas operations:</w:t>
            </w:r>
          </w:p>
          <w:p w14:paraId="489E8300" w14:textId="3745E099"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 Sector-wide Targets: The plan sets sector-wide targets for the utilization of associated gas, aiming to significantly reduce the volume of gas that is flared or vented.</w:t>
            </w:r>
          </w:p>
          <w:p w14:paraId="2210F90F" w14:textId="4F483DCA"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 Flare Gas Combustion Efficiency: There is a requirement for a minimum benchmark for flare gas combustion efficiency, ensuring that when flaring does occur, it is as efficient as possible and minimizes methane slip.</w:t>
            </w:r>
          </w:p>
          <w:p w14:paraId="3A5BAB1A" w14:textId="45481613"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 Pre-development Gas Capture Plans: For new oil and gas projects, companies must submit gas capture plans or conduct economic evaluations of associated gas utilization options as part of the project approval process. This ensures that gas capture and utilization are considered from the outset.</w:t>
            </w:r>
          </w:p>
          <w:p w14:paraId="7D587DC3" w14:textId="49C31B74"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 Financial Assurance Requirements: Companies are required to provide financial assurances to cover the costs of well closure and remediation, including the plugging of abandoned wells, to prevent methane leaks from inactive infrastructure.</w:t>
            </w:r>
          </w:p>
          <w:p w14:paraId="3C3D18BF" w14:textId="1DBF3898"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 Plugging Abandoned Wells: The plan mandates measures for plugging abandoned or orphaned wells, including the allocation of funding and the establishment of clear responsibilities for well closure.</w:t>
            </w:r>
          </w:p>
          <w:p w14:paraId="6DFD8490" w14:textId="1A59C85C" w:rsidR="00A11339" w:rsidRPr="00A11339"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lastRenderedPageBreak/>
              <w:t>• Reporting for Inactive Wells: There are specific reporting requirements for emissions from inactive, orphaned, or abandoned wells, ensuring that these sources are not overlooked in national inventories.</w:t>
            </w:r>
          </w:p>
          <w:p w14:paraId="78AA723E" w14:textId="31D36D04" w:rsidR="002F0752" w:rsidRPr="00CF2E7C" w:rsidRDefault="00A11339" w:rsidP="00A11339">
            <w:pPr>
              <w:rPr>
                <w:rFonts w:ascii="Calibri" w:eastAsia="Calibri" w:hAnsi="Calibri" w:cs="Calibri"/>
                <w:color w:val="000000" w:themeColor="text1"/>
              </w:rPr>
            </w:pPr>
            <w:r w:rsidRPr="00A11339">
              <w:rPr>
                <w:rFonts w:ascii="Calibri" w:eastAsia="Calibri" w:hAnsi="Calibri" w:cs="Calibri"/>
                <w:color w:val="000000" w:themeColor="text1"/>
              </w:rPr>
              <w:t>These measures collectively aim to ensure that associated gas is captured and utilized wherever possible, and that legacy emissions from abandoned infrastructure are addressed.</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30C81E12"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37782DC9"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49404A8C"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49CBFCAB"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25E3E3E3"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F16F7EA"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61117AB4"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12376AF3" w:rsidR="002F0752" w:rsidRPr="00CF2E7C" w:rsidRDefault="00BE50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CE74F9D" w14:textId="4BD85AF8" w:rsidR="00CC06A3" w:rsidRPr="00CC06A3" w:rsidRDefault="00CC06A3" w:rsidP="00CC06A3">
            <w:pPr>
              <w:rPr>
                <w:rFonts w:ascii="Calibri" w:eastAsia="Calibri" w:hAnsi="Calibri" w:cs="Calibri"/>
                <w:color w:val="000000" w:themeColor="text1"/>
              </w:rPr>
            </w:pPr>
            <w:r w:rsidRPr="00CC06A3">
              <w:rPr>
                <w:rFonts w:ascii="Calibri" w:eastAsia="Calibri" w:hAnsi="Calibri" w:cs="Calibri"/>
                <w:color w:val="000000" w:themeColor="text1"/>
              </w:rPr>
              <w:t>While Resolution 146/2023 requires the establishment of methane intensity standards for imported oil and gas, the specific definition and calculation methodology for methane intensity are not detailed in the text of the resolution itself. However, the policy references the need for:</w:t>
            </w:r>
          </w:p>
          <w:p w14:paraId="666A007A" w14:textId="1C00538D" w:rsidR="00CC06A3" w:rsidRPr="00CC06A3" w:rsidRDefault="00CC06A3" w:rsidP="00CC06A3">
            <w:pPr>
              <w:rPr>
                <w:rFonts w:ascii="Calibri" w:eastAsia="Calibri" w:hAnsi="Calibri" w:cs="Calibri"/>
                <w:color w:val="000000" w:themeColor="text1"/>
              </w:rPr>
            </w:pPr>
            <w:r w:rsidRPr="00CC06A3">
              <w:rPr>
                <w:rFonts w:ascii="Calibri" w:eastAsia="Calibri" w:hAnsi="Calibri" w:cs="Calibri"/>
                <w:color w:val="000000" w:themeColor="text1"/>
              </w:rPr>
              <w:t>• Methane Intensity Standards: These are typically defined as the amount of methane emitted per unit of energy produced (e.g., grams of methane per megajoule or per barrel of oil equivalent).</w:t>
            </w:r>
          </w:p>
          <w:p w14:paraId="3FE1CDFB" w14:textId="11977554" w:rsidR="00CC06A3" w:rsidRPr="00CC06A3" w:rsidRDefault="00CC06A3" w:rsidP="00CC06A3">
            <w:pPr>
              <w:rPr>
                <w:rFonts w:ascii="Calibri" w:eastAsia="Calibri" w:hAnsi="Calibri" w:cs="Calibri"/>
                <w:color w:val="000000" w:themeColor="text1"/>
              </w:rPr>
            </w:pPr>
            <w:r w:rsidRPr="00CC06A3">
              <w:rPr>
                <w:rFonts w:ascii="Calibri" w:eastAsia="Calibri" w:hAnsi="Calibri" w:cs="Calibri"/>
                <w:color w:val="000000" w:themeColor="text1"/>
              </w:rPr>
              <w:t>• Calculation Guidance: The plan indicates that calculation methodologies should be aligned with international best practices, such as those established by the Oil and Gas Methane Partnership (OGMP) or the IPCC inventory guidelines. This includes the use of direct measurement, emissions factors, and reporting protocols that ensure comparability and transparency.</w:t>
            </w:r>
          </w:p>
          <w:p w14:paraId="48C43275" w14:textId="6FC193A3" w:rsidR="00CC06A3" w:rsidRPr="00CC06A3" w:rsidRDefault="00CC06A3" w:rsidP="00CC06A3">
            <w:pPr>
              <w:rPr>
                <w:rFonts w:ascii="Calibri" w:eastAsia="Calibri" w:hAnsi="Calibri" w:cs="Calibri"/>
                <w:color w:val="000000" w:themeColor="text1"/>
              </w:rPr>
            </w:pPr>
            <w:r w:rsidRPr="00CC06A3">
              <w:rPr>
                <w:rFonts w:ascii="Calibri" w:eastAsia="Calibri" w:hAnsi="Calibri" w:cs="Calibri"/>
                <w:color w:val="000000" w:themeColor="text1"/>
              </w:rPr>
              <w:t>• Third-party Verification: Methane intensity data must be subject to third-party verification to ensure accuracy and credibility.</w:t>
            </w:r>
          </w:p>
          <w:p w14:paraId="48261404" w14:textId="7872D2F4" w:rsidR="002F0752" w:rsidRPr="00CF2E7C" w:rsidRDefault="00CC06A3" w:rsidP="00CC06A3">
            <w:pPr>
              <w:rPr>
                <w:rFonts w:ascii="Calibri" w:eastAsia="Calibri" w:hAnsi="Calibri" w:cs="Calibri"/>
                <w:color w:val="000000" w:themeColor="text1"/>
              </w:rPr>
            </w:pPr>
            <w:r w:rsidRPr="00CC06A3">
              <w:rPr>
                <w:rFonts w:ascii="Calibri" w:eastAsia="Calibri" w:hAnsi="Calibri" w:cs="Calibri"/>
                <w:color w:val="000000" w:themeColor="text1"/>
              </w:rPr>
              <w:t xml:space="preserve">The policy anticipates further technical guidance to be issued by the relevant authorities to operationalize </w:t>
            </w:r>
            <w:r>
              <w:rPr>
                <w:rFonts w:ascii="Calibri" w:eastAsia="Calibri" w:hAnsi="Calibri" w:cs="Calibri"/>
                <w:color w:val="000000" w:themeColor="text1"/>
              </w:rPr>
              <w:t>t</w:t>
            </w:r>
            <w:r w:rsidRPr="00CC06A3">
              <w:rPr>
                <w:rFonts w:ascii="Calibri" w:eastAsia="Calibri" w:hAnsi="Calibri" w:cs="Calibri"/>
                <w:color w:val="000000" w:themeColor="text1"/>
              </w:rPr>
              <w:t>hese standards.</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18A2B6BB" w:rsidR="002F0752" w:rsidRPr="00CF2E7C" w:rsidRDefault="0092120C" w:rsidP="00CF2E7C">
            <w:pPr>
              <w:rPr>
                <w:rFonts w:ascii="Calibri" w:hAnsi="Calibri" w:cs="Calibri"/>
              </w:rPr>
            </w:pPr>
            <w:r>
              <w:rPr>
                <w:rFonts w:ascii="Calibri" w:hAnsi="Calibri" w:cs="Calibri"/>
              </w:rPr>
              <w:t>X</w:t>
            </w: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lastRenderedPageBreak/>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1242E498" w:rsidR="002F0752" w:rsidRPr="00CF2E7C" w:rsidRDefault="0092120C" w:rsidP="00CF2E7C">
            <w:pPr>
              <w:rPr>
                <w:rFonts w:ascii="Calibri" w:hAnsi="Calibri" w:cs="Calibri"/>
              </w:rPr>
            </w:pPr>
            <w:r>
              <w:rPr>
                <w:rFonts w:ascii="Calibri" w:hAnsi="Calibri" w:cs="Calibri"/>
              </w:rPr>
              <w:t>X</w:t>
            </w: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05A0727" w14:textId="5B8391B4" w:rsidR="009A0EB3" w:rsidRPr="009A0EB3" w:rsidRDefault="009A0EB3" w:rsidP="009A0EB3">
            <w:pPr>
              <w:rPr>
                <w:rFonts w:ascii="Calibri" w:hAnsi="Calibri" w:cs="Calibri"/>
              </w:rPr>
            </w:pPr>
            <w:r w:rsidRPr="009A0EB3">
              <w:rPr>
                <w:rFonts w:ascii="Calibri" w:hAnsi="Calibri" w:cs="Calibri"/>
              </w:rPr>
              <w:t>Resolution 146/2023 requires a ban on routine venting and flaring associated with coal mining activities. However, the resolution does not specify detailed exceptions to this ban within its main text. In general, exceptions to such bans in international practice may include:</w:t>
            </w:r>
          </w:p>
          <w:p w14:paraId="01C47D5F" w14:textId="1E1248C2" w:rsidR="009A0EB3" w:rsidRPr="009A0EB3" w:rsidRDefault="009A0EB3" w:rsidP="009A0EB3">
            <w:pPr>
              <w:rPr>
                <w:rFonts w:ascii="Calibri" w:hAnsi="Calibri" w:cs="Calibri"/>
              </w:rPr>
            </w:pPr>
            <w:r w:rsidRPr="009A0EB3">
              <w:rPr>
                <w:rFonts w:ascii="Calibri" w:hAnsi="Calibri" w:cs="Calibri"/>
              </w:rPr>
              <w:t>• Safety-related Venting: Venting may be permitted in emergency situations where it is necessary to protect worker safety or prevent catastrophic incidents.</w:t>
            </w:r>
          </w:p>
          <w:p w14:paraId="2A74CE8B" w14:textId="64B3EF22" w:rsidR="009A0EB3" w:rsidRPr="009A0EB3" w:rsidRDefault="009A0EB3" w:rsidP="009A0EB3">
            <w:pPr>
              <w:rPr>
                <w:rFonts w:ascii="Calibri" w:hAnsi="Calibri" w:cs="Calibri"/>
              </w:rPr>
            </w:pPr>
            <w:r w:rsidRPr="009A0EB3">
              <w:rPr>
                <w:rFonts w:ascii="Calibri" w:hAnsi="Calibri" w:cs="Calibri"/>
              </w:rPr>
              <w:t>• Technical Unavoidability: In cases where venting or flaring is technically unavoidable due to the nature of the mining operation or lack of feasible alternatives, limited exceptions may be granted, subject to regulatory approval and strict reporting requirements.</w:t>
            </w:r>
          </w:p>
          <w:p w14:paraId="368050BF" w14:textId="3FC5F4E2" w:rsidR="009A0EB3" w:rsidRPr="009A0EB3" w:rsidRDefault="009A0EB3" w:rsidP="009A0EB3">
            <w:pPr>
              <w:rPr>
                <w:rFonts w:ascii="Calibri" w:hAnsi="Calibri" w:cs="Calibri"/>
              </w:rPr>
            </w:pPr>
            <w:r w:rsidRPr="009A0EB3">
              <w:rPr>
                <w:rFonts w:ascii="Calibri" w:hAnsi="Calibri" w:cs="Calibri"/>
              </w:rPr>
              <w:t>• Temporary Operational Issues: Short-term exceptions may be allowed during maintenance, equipment failure, or other temporary operational issues, provided that mitigation measures are implemented as soon as possible.</w:t>
            </w:r>
          </w:p>
          <w:p w14:paraId="130A1B43" w14:textId="73A68C12" w:rsidR="002F0752" w:rsidRPr="00CF2E7C" w:rsidRDefault="009A0EB3" w:rsidP="009A0EB3">
            <w:pPr>
              <w:rPr>
                <w:rFonts w:ascii="Calibri" w:hAnsi="Calibri" w:cs="Calibri"/>
              </w:rPr>
            </w:pPr>
            <w:r w:rsidRPr="009A0EB3">
              <w:rPr>
                <w:rFonts w:ascii="Calibri" w:hAnsi="Calibri" w:cs="Calibri"/>
              </w:rPr>
              <w:t>Any exceptions would be subject to approval by the competent authority and must be justified, documented, and reported.</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667AA005" w:rsidR="002F0752" w:rsidRPr="00CF2E7C" w:rsidRDefault="0092120C" w:rsidP="00CF2E7C">
            <w:pPr>
              <w:rPr>
                <w:rFonts w:ascii="Calibri" w:hAnsi="Calibri" w:cs="Calibri"/>
              </w:rPr>
            </w:pPr>
            <w:r>
              <w:rPr>
                <w:rFonts w:ascii="Calibri" w:hAnsi="Calibri" w:cs="Calibri"/>
              </w:rPr>
              <w:t>X</w:t>
            </w: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A281830" w14:textId="27D4FC48" w:rsidR="009A0EB3" w:rsidRPr="009A0EB3" w:rsidRDefault="009A0EB3" w:rsidP="009A0EB3">
            <w:pPr>
              <w:rPr>
                <w:rFonts w:ascii="Calibri" w:hAnsi="Calibri" w:cs="Calibri"/>
              </w:rPr>
            </w:pPr>
            <w:r w:rsidRPr="009A0EB3">
              <w:rPr>
                <w:rFonts w:ascii="Calibri" w:hAnsi="Calibri" w:cs="Calibri"/>
              </w:rPr>
              <w:t>The policy requires standards for the capture, recovery, and use of coal mine methane (CMM), but does not specify explicit exceptions in the main resolution. In practice, exceptions to these standards may include:</w:t>
            </w:r>
          </w:p>
          <w:p w14:paraId="396A677A" w14:textId="6C8A41BF" w:rsidR="009A0EB3" w:rsidRPr="009A0EB3" w:rsidRDefault="009A0EB3" w:rsidP="009A0EB3">
            <w:pPr>
              <w:rPr>
                <w:rFonts w:ascii="Calibri" w:hAnsi="Calibri" w:cs="Calibri"/>
              </w:rPr>
            </w:pPr>
            <w:r w:rsidRPr="009A0EB3">
              <w:rPr>
                <w:rFonts w:ascii="Calibri" w:hAnsi="Calibri" w:cs="Calibri"/>
              </w:rPr>
              <w:t>• Technical or Economic Infeasibility: If it can be demonstrated that methane capture is not technically or economically feasible at a particular site, an exception may be granted, typically with a requirement for periodic reassessment as technology and market conditions evolve.</w:t>
            </w:r>
          </w:p>
          <w:p w14:paraId="118B1DFB" w14:textId="2FCE8A79" w:rsidR="009A0EB3" w:rsidRPr="009A0EB3" w:rsidRDefault="009A0EB3" w:rsidP="009A0EB3">
            <w:pPr>
              <w:rPr>
                <w:rFonts w:ascii="Calibri" w:hAnsi="Calibri" w:cs="Calibri"/>
              </w:rPr>
            </w:pPr>
            <w:r w:rsidRPr="009A0EB3">
              <w:rPr>
                <w:rFonts w:ascii="Calibri" w:hAnsi="Calibri" w:cs="Calibri"/>
              </w:rPr>
              <w:t>• Low Methane Concentration: Sites with methane concentrations below a certain threshold may be exempted from capture requirements, as recovery may not be practical or safe.</w:t>
            </w:r>
          </w:p>
          <w:p w14:paraId="141DA0FB" w14:textId="7EDF1E8F" w:rsidR="009A0EB3" w:rsidRPr="009A0EB3" w:rsidRDefault="009A0EB3" w:rsidP="009A0EB3">
            <w:pPr>
              <w:rPr>
                <w:rFonts w:ascii="Calibri" w:hAnsi="Calibri" w:cs="Calibri"/>
              </w:rPr>
            </w:pPr>
            <w:r w:rsidRPr="009A0EB3">
              <w:rPr>
                <w:rFonts w:ascii="Calibri" w:hAnsi="Calibri" w:cs="Calibri"/>
              </w:rPr>
              <w:t>• Safety Considerations: Where methane capture could compromise mine safety, exceptions may be allowed, provided that alternative mitigation measures are in place.</w:t>
            </w:r>
          </w:p>
          <w:p w14:paraId="1B06696C" w14:textId="4FB5765A" w:rsidR="002F0752" w:rsidRPr="00CF2E7C" w:rsidRDefault="009A0EB3" w:rsidP="009A0EB3">
            <w:pPr>
              <w:rPr>
                <w:rFonts w:ascii="Calibri" w:hAnsi="Calibri" w:cs="Calibri"/>
              </w:rPr>
            </w:pPr>
            <w:r w:rsidRPr="009A0EB3">
              <w:rPr>
                <w:rFonts w:ascii="Calibri" w:hAnsi="Calibri" w:cs="Calibri"/>
              </w:rPr>
              <w:lastRenderedPageBreak/>
              <w:t>All exceptions would require robust justification and approval by the relevant regulatory authority, with ongoing monitoring and reporting.</w:t>
            </w: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2EE295B0" w:rsidR="002F0752" w:rsidRPr="00CF2E7C" w:rsidRDefault="004A1969" w:rsidP="00CF2E7C">
            <w:pPr>
              <w:rPr>
                <w:rFonts w:ascii="Calibri" w:hAnsi="Calibri" w:cs="Calibri"/>
              </w:rPr>
            </w:pPr>
            <w:r>
              <w:rPr>
                <w:rFonts w:ascii="Calibri" w:hAnsi="Calibri" w:cs="Calibri"/>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151CDEDD" w:rsidR="002F0752" w:rsidRPr="00CF2E7C" w:rsidRDefault="004A1969" w:rsidP="00CF2E7C">
            <w:pPr>
              <w:rPr>
                <w:rFonts w:ascii="Calibri" w:hAnsi="Calibri" w:cs="Calibri"/>
              </w:rPr>
            </w:pPr>
            <w:r>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23665B5D" w:rsidR="002F0752" w:rsidRPr="00CF2E7C" w:rsidRDefault="004A1969" w:rsidP="00CF2E7C">
            <w:pPr>
              <w:rPr>
                <w:rFonts w:ascii="Calibri" w:hAnsi="Calibri" w:cs="Calibri"/>
              </w:rPr>
            </w:pPr>
            <w:r>
              <w:rPr>
                <w:rFonts w:ascii="Calibri" w:hAnsi="Calibri" w:cs="Calibri"/>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5D109BB6" w:rsidR="002F0752" w:rsidRPr="00CF2E7C" w:rsidRDefault="004A1969"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21CD1F62" w:rsidR="002F0752" w:rsidRPr="00CF2E7C" w:rsidRDefault="004A1969" w:rsidP="00CF2E7C">
            <w:pPr>
              <w:rPr>
                <w:rFonts w:ascii="Calibri" w:hAnsi="Calibri" w:cs="Calibri"/>
              </w:rPr>
            </w:pPr>
            <w:r>
              <w:rPr>
                <w:rFonts w:ascii="Calibri" w:hAnsi="Calibri" w:cs="Calibri"/>
              </w:rPr>
              <w:t>X</w:t>
            </w: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04BC89BE"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581772FC"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2C7729E9"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3250816A"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66A4090A"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447A2E4"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1EF974F"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01F0B72D"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2210A54A"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1FE96898" w:rsidR="002F0752" w:rsidRPr="00CF2E7C" w:rsidRDefault="004A196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275B99A3" w:rsidR="002F0752" w:rsidRPr="00CF2E7C" w:rsidRDefault="0075222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8D80C02" w:rsidR="002F0752" w:rsidRPr="00CF2E7C" w:rsidRDefault="0075222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0C998CEE" w:rsidR="002F0752" w:rsidRPr="00CF2E7C" w:rsidRDefault="0075222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5025C38" w14:textId="6A63EFBF" w:rsidR="00030D85" w:rsidRPr="00030D85" w:rsidRDefault="00030D85" w:rsidP="00030D85">
            <w:pPr>
              <w:rPr>
                <w:rFonts w:ascii="Calibri" w:eastAsia="Calibri" w:hAnsi="Calibri" w:cs="Calibri"/>
                <w:color w:val="000000" w:themeColor="text1"/>
              </w:rPr>
            </w:pPr>
            <w:r w:rsidRPr="00030D85">
              <w:rPr>
                <w:rFonts w:ascii="Calibri" w:eastAsia="Calibri" w:hAnsi="Calibri" w:cs="Calibri"/>
                <w:color w:val="000000" w:themeColor="text1"/>
              </w:rPr>
              <w:t>The policy tool recognizes the need for financial incentives to encourage the adoption of methane abatement measures in agriculture. It provides for:</w:t>
            </w:r>
          </w:p>
          <w:p w14:paraId="5DA83213" w14:textId="2C07A7EF" w:rsidR="00030D85" w:rsidRPr="00030D85" w:rsidRDefault="00030D85" w:rsidP="00030D85">
            <w:pPr>
              <w:rPr>
                <w:rFonts w:ascii="Calibri" w:eastAsia="Calibri" w:hAnsi="Calibri" w:cs="Calibri"/>
                <w:color w:val="000000" w:themeColor="text1"/>
              </w:rPr>
            </w:pPr>
            <w:r w:rsidRPr="00030D85">
              <w:rPr>
                <w:rFonts w:ascii="Calibri" w:eastAsia="Calibri" w:hAnsi="Calibri" w:cs="Calibri"/>
                <w:color w:val="000000" w:themeColor="text1"/>
              </w:rPr>
              <w:t>• Subsidies: Direct financial support to farmers and agricultural enterprises for the purchase and installation of methane-reducing technologies (e.g., biogas digesters, feed additives, improved manure management systems).</w:t>
            </w:r>
          </w:p>
          <w:p w14:paraId="4847F670" w14:textId="63E0CA7B" w:rsidR="00030D85" w:rsidRPr="00030D85" w:rsidRDefault="00030D85" w:rsidP="00030D85">
            <w:pPr>
              <w:rPr>
                <w:rFonts w:ascii="Calibri" w:eastAsia="Calibri" w:hAnsi="Calibri" w:cs="Calibri"/>
                <w:color w:val="000000" w:themeColor="text1"/>
              </w:rPr>
            </w:pPr>
            <w:r w:rsidRPr="00030D85">
              <w:rPr>
                <w:rFonts w:ascii="Calibri" w:eastAsia="Calibri" w:hAnsi="Calibri" w:cs="Calibri"/>
                <w:color w:val="000000" w:themeColor="text1"/>
              </w:rPr>
              <w:lastRenderedPageBreak/>
              <w:t>• Grants: Non-repayable grants for pilot projects, demonstration farms, and the scaling up of innovative methane abatement practices.</w:t>
            </w:r>
          </w:p>
          <w:p w14:paraId="44C19BB7" w14:textId="43071665" w:rsidR="00030D85" w:rsidRPr="00030D85" w:rsidRDefault="00030D85" w:rsidP="00030D85">
            <w:pPr>
              <w:rPr>
                <w:rFonts w:ascii="Calibri" w:eastAsia="Calibri" w:hAnsi="Calibri" w:cs="Calibri"/>
                <w:color w:val="000000" w:themeColor="text1"/>
              </w:rPr>
            </w:pPr>
            <w:r w:rsidRPr="00030D85">
              <w:rPr>
                <w:rFonts w:ascii="Calibri" w:eastAsia="Calibri" w:hAnsi="Calibri" w:cs="Calibri"/>
                <w:color w:val="000000" w:themeColor="text1"/>
              </w:rPr>
              <w:t>• Research and Development Funding: Allocation of funds for research into new technologies, practices, and crop/livestock varieties that can further reduce methane emissions.</w:t>
            </w:r>
          </w:p>
          <w:p w14:paraId="06255EB8" w14:textId="3BC5D6C6" w:rsidR="00030D85" w:rsidRPr="00030D85" w:rsidRDefault="00030D85" w:rsidP="00030D85">
            <w:pPr>
              <w:rPr>
                <w:rFonts w:ascii="Calibri" w:eastAsia="Calibri" w:hAnsi="Calibri" w:cs="Calibri"/>
                <w:color w:val="000000" w:themeColor="text1"/>
              </w:rPr>
            </w:pPr>
            <w:r w:rsidRPr="00030D85">
              <w:rPr>
                <w:rFonts w:ascii="Calibri" w:eastAsia="Calibri" w:hAnsi="Calibri" w:cs="Calibri"/>
                <w:color w:val="000000" w:themeColor="text1"/>
              </w:rPr>
              <w:t>• Other Financial Mechanisms: The plan may also include low-interest loans, tax incentives, or cost-sharing arrangements to lower the financial barriers to adoption.</w:t>
            </w:r>
          </w:p>
          <w:p w14:paraId="09D48E36" w14:textId="62AF771B" w:rsidR="002F0752" w:rsidRPr="00CF2E7C" w:rsidRDefault="00030D85" w:rsidP="00030D85">
            <w:pPr>
              <w:rPr>
                <w:rFonts w:ascii="Calibri" w:eastAsia="Calibri" w:hAnsi="Calibri" w:cs="Calibri"/>
                <w:color w:val="000000" w:themeColor="text1"/>
              </w:rPr>
            </w:pPr>
            <w:r w:rsidRPr="00030D85">
              <w:rPr>
                <w:rFonts w:ascii="Calibri" w:eastAsia="Calibri" w:hAnsi="Calibri" w:cs="Calibri"/>
                <w:color w:val="000000" w:themeColor="text1"/>
              </w:rPr>
              <w:t>The availability and allocation of these subsidies and grants are managed by the relevant ministries and agencies, with priority given to projects that demonstrate high mitigation potential, scalability, and co-benefits for rural development and livelihoods.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03A2ABA1"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4863223C"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598A1140"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58114D10" w:rsidR="002F0752" w:rsidRPr="00CF2E7C" w:rsidRDefault="0075222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2F72C16F"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6BC6AD13"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5FBB151C"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96A522E" w:rsidR="002F0752" w:rsidRPr="00CF2E7C" w:rsidRDefault="0075222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7076FC49"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03D58794"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2A0C68C3"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44749297"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260FD112"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7DB96168"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1C10AF1F"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9FB1020"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65055561"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5F301718"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5FCF8257"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2776A281" w:rsidR="002F0752" w:rsidRPr="00CF2E7C" w:rsidRDefault="0040554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A1C268" w14:textId="77777777" w:rsidR="003977C0" w:rsidRDefault="003977C0" w:rsidP="00874E39">
      <w:r>
        <w:separator/>
      </w:r>
    </w:p>
  </w:endnote>
  <w:endnote w:type="continuationSeparator" w:id="0">
    <w:p w14:paraId="06C67813" w14:textId="77777777" w:rsidR="003977C0" w:rsidRDefault="003977C0" w:rsidP="00874E39">
      <w:r>
        <w:continuationSeparator/>
      </w:r>
    </w:p>
  </w:endnote>
  <w:endnote w:type="continuationNotice" w:id="1">
    <w:p w14:paraId="1D6E8080" w14:textId="77777777" w:rsidR="003977C0" w:rsidRDefault="003977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71BA4AD"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5D90E0" w14:textId="77777777" w:rsidR="003977C0" w:rsidRDefault="003977C0" w:rsidP="00874E39">
      <w:r>
        <w:separator/>
      </w:r>
    </w:p>
  </w:footnote>
  <w:footnote w:type="continuationSeparator" w:id="0">
    <w:p w14:paraId="1FB40900" w14:textId="77777777" w:rsidR="003977C0" w:rsidRDefault="003977C0" w:rsidP="00874E39">
      <w:r>
        <w:continuationSeparator/>
      </w:r>
    </w:p>
  </w:footnote>
  <w:footnote w:type="continuationNotice" w:id="1">
    <w:p w14:paraId="5AA6CB74" w14:textId="77777777" w:rsidR="003977C0" w:rsidRDefault="003977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0D85"/>
    <w:rsid w:val="000334B6"/>
    <w:rsid w:val="0003453A"/>
    <w:rsid w:val="00034EDB"/>
    <w:rsid w:val="00035464"/>
    <w:rsid w:val="000372C9"/>
    <w:rsid w:val="00037C4D"/>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E77"/>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8C5"/>
    <w:rsid w:val="001021EC"/>
    <w:rsid w:val="00104BA2"/>
    <w:rsid w:val="00104EB1"/>
    <w:rsid w:val="00105889"/>
    <w:rsid w:val="00105C84"/>
    <w:rsid w:val="00105E55"/>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4E53"/>
    <w:rsid w:val="00285DA7"/>
    <w:rsid w:val="00285EBB"/>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E02"/>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E77"/>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D2"/>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7C0"/>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4F6"/>
    <w:rsid w:val="003F256E"/>
    <w:rsid w:val="003F2B00"/>
    <w:rsid w:val="003F2E77"/>
    <w:rsid w:val="003F338D"/>
    <w:rsid w:val="003F39C3"/>
    <w:rsid w:val="003F4908"/>
    <w:rsid w:val="003F5B6F"/>
    <w:rsid w:val="003F680F"/>
    <w:rsid w:val="00400800"/>
    <w:rsid w:val="00401843"/>
    <w:rsid w:val="004024D0"/>
    <w:rsid w:val="00404119"/>
    <w:rsid w:val="00404453"/>
    <w:rsid w:val="00405541"/>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720"/>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969"/>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A9D"/>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8E3"/>
    <w:rsid w:val="0052600B"/>
    <w:rsid w:val="00526617"/>
    <w:rsid w:val="00530553"/>
    <w:rsid w:val="00530958"/>
    <w:rsid w:val="00532585"/>
    <w:rsid w:val="00532B66"/>
    <w:rsid w:val="0053543F"/>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B78"/>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403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C42"/>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0CDF"/>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4991"/>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8CF"/>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22F"/>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2F93"/>
    <w:rsid w:val="00783F69"/>
    <w:rsid w:val="0078610D"/>
    <w:rsid w:val="007866CF"/>
    <w:rsid w:val="00786AC9"/>
    <w:rsid w:val="00786EC4"/>
    <w:rsid w:val="007909FA"/>
    <w:rsid w:val="00791ED5"/>
    <w:rsid w:val="00792AC3"/>
    <w:rsid w:val="007936B2"/>
    <w:rsid w:val="007936C6"/>
    <w:rsid w:val="007939C4"/>
    <w:rsid w:val="00794D7C"/>
    <w:rsid w:val="00795F60"/>
    <w:rsid w:val="007963A0"/>
    <w:rsid w:val="00796DBC"/>
    <w:rsid w:val="007976D7"/>
    <w:rsid w:val="007A24F7"/>
    <w:rsid w:val="007A316E"/>
    <w:rsid w:val="007A426C"/>
    <w:rsid w:val="007A5B5B"/>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B23"/>
    <w:rsid w:val="00816D92"/>
    <w:rsid w:val="00816F1B"/>
    <w:rsid w:val="00820281"/>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20C"/>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588"/>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87B4C"/>
    <w:rsid w:val="00991124"/>
    <w:rsid w:val="009923B6"/>
    <w:rsid w:val="009926EF"/>
    <w:rsid w:val="00993609"/>
    <w:rsid w:val="00994653"/>
    <w:rsid w:val="00994C5F"/>
    <w:rsid w:val="00994E6E"/>
    <w:rsid w:val="00996526"/>
    <w:rsid w:val="009967D9"/>
    <w:rsid w:val="00996A43"/>
    <w:rsid w:val="00996EFE"/>
    <w:rsid w:val="009A0851"/>
    <w:rsid w:val="009A0EB3"/>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525"/>
    <w:rsid w:val="00A02AF3"/>
    <w:rsid w:val="00A035AB"/>
    <w:rsid w:val="00A04C9D"/>
    <w:rsid w:val="00A04DB8"/>
    <w:rsid w:val="00A050A2"/>
    <w:rsid w:val="00A05CFC"/>
    <w:rsid w:val="00A064CE"/>
    <w:rsid w:val="00A0773E"/>
    <w:rsid w:val="00A07FB5"/>
    <w:rsid w:val="00A11339"/>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0C4"/>
    <w:rsid w:val="00AE2662"/>
    <w:rsid w:val="00AE3CBD"/>
    <w:rsid w:val="00AE5D21"/>
    <w:rsid w:val="00AE7C5F"/>
    <w:rsid w:val="00AF08A8"/>
    <w:rsid w:val="00AF2019"/>
    <w:rsid w:val="00AF26B7"/>
    <w:rsid w:val="00AF30FD"/>
    <w:rsid w:val="00AF3FC6"/>
    <w:rsid w:val="00AF4B5F"/>
    <w:rsid w:val="00AF4B6D"/>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B59"/>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0CC"/>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CEA"/>
    <w:rsid w:val="00C84F1D"/>
    <w:rsid w:val="00C85DD9"/>
    <w:rsid w:val="00C85F5A"/>
    <w:rsid w:val="00C8618D"/>
    <w:rsid w:val="00C86867"/>
    <w:rsid w:val="00C86ADF"/>
    <w:rsid w:val="00C870C0"/>
    <w:rsid w:val="00C9020A"/>
    <w:rsid w:val="00C93AD3"/>
    <w:rsid w:val="00C93F42"/>
    <w:rsid w:val="00C9418B"/>
    <w:rsid w:val="00C95D67"/>
    <w:rsid w:val="00C97222"/>
    <w:rsid w:val="00CA0DAE"/>
    <w:rsid w:val="00CA0E49"/>
    <w:rsid w:val="00CA1535"/>
    <w:rsid w:val="00CA4AAC"/>
    <w:rsid w:val="00CA5087"/>
    <w:rsid w:val="00CA58EE"/>
    <w:rsid w:val="00CA7EEF"/>
    <w:rsid w:val="00CB1649"/>
    <w:rsid w:val="00CB179D"/>
    <w:rsid w:val="00CB3E5E"/>
    <w:rsid w:val="00CB4EBD"/>
    <w:rsid w:val="00CB6338"/>
    <w:rsid w:val="00CB76AA"/>
    <w:rsid w:val="00CB790E"/>
    <w:rsid w:val="00CC06A3"/>
    <w:rsid w:val="00CC1407"/>
    <w:rsid w:val="00CC450D"/>
    <w:rsid w:val="00CC4FFC"/>
    <w:rsid w:val="00CC5328"/>
    <w:rsid w:val="00CC77F9"/>
    <w:rsid w:val="00CC7CC0"/>
    <w:rsid w:val="00CD0735"/>
    <w:rsid w:val="00CD1E49"/>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B8C"/>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B2A"/>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CF4"/>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F6C"/>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05B"/>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0FD"/>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19195533/https:/www.argentina.gob.ar/normativa/nacional/resoluci%C3%B3n-146-2023-382506/text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113</Pages>
  <Words>23154</Words>
  <Characters>131979</Characters>
  <Application>Microsoft Office Word</Application>
  <DocSecurity>0</DocSecurity>
  <Lines>1099</Lines>
  <Paragraphs>309</Paragraphs>
  <ScaleCrop>false</ScaleCrop>
  <Company/>
  <LinksUpToDate>false</LinksUpToDate>
  <CharactersWithSpaces>154824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48</cp:revision>
  <cp:lastPrinted>2025-03-21T00:14:00Z</cp:lastPrinted>
  <dcterms:created xsi:type="dcterms:W3CDTF">2025-05-19T11:32:00Z</dcterms:created>
  <dcterms:modified xsi:type="dcterms:W3CDTF">2025-06-27T18:18:00Z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